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1</w:t>
      </w:r>
    </w:p>
    <w:p>
      <w:r>
        <w:t>Bundesgericht (BGE), 2005-04-29, DE</w:t>
      </w:r>
    </w:p>
    <w:p>
      <w:r>
        <w:rPr>
          <w:b/>
        </w:rPr>
        <w:t xml:space="preserve">Quelle: </w:t>
      </w:r>
      <w:r>
        <w:t>https://mcp.opencaselaw.ch/entscheid/bge_133 V 1</w:t>
      </w:r>
    </w:p>
    <w:p>
      <w:r>
        <w:t>FR: ATF 133 V 1</w:t>
      </w:r>
    </w:p>
    <w:p>
      <w:r>
        <w:t>IT: DTF 133 V 1</w:t>
      </w:r>
    </w:p>
    <w:p>
      <w:pPr>
        <w:pStyle w:val="Heading2"/>
      </w:pPr>
      <w:r>
        <w:t>Regeste</w:t>
      </w:r>
    </w:p>
    <w:p>
      <w:r>
        <w:t>Regeste Art. 21 Abs. 5 ATSG; Art. 13 Abs. 1 MVG (in der vom 1. Januar 1994 bis 31. Dezember 2002 in Kraft gestandenen Fassung); Art. 43 MVG (in der bis 31. Dezember 1993 gültig gewesenen Fassung): Sistierung des IV-Rentenanspruchs bei Untersuchungshaft. Art. 21 Abs. 5 ATSG hat an der bisherigen Rechtsprechung (BGE 116 V 323), wonach Untersuchungshaft von gewisser Dauer in gleicher Weise Anlass zur Rentensistierung gibt wie jede andere Form des von einer Strafbehörde angeordneten Freiheitsentzugs, nichts geändert (E. 2-4.4).</w:t>
      </w:r>
    </w:p>
    <w:p>
      <w:pPr>
        <w:pStyle w:val="Heading2"/>
      </w:pPr>
      <w:r>
        <w:t>Erwägungen</w:t>
      </w:r>
    </w:p>
    <w:p>
      <w:r>
        <w:rPr>
          <w:b/>
        </w:rPr>
        <w:t>E. 2</w:t>
      </w:r>
    </w:p>
    <w:p>
      <w:r>
        <w:t>Art. 21 Abs. 5 ATSG , in Kraft seit 1. Januar 2003 und auf die hier als Sistierungsgrund in Betracht fallende Untersuchungshaft ab 4. Dezember 2004 intertemporalrechtlich anwendbar, lautet: "Befindet sich die versicherte Person im Straf- oder Massnahmevollzug, so kann während dieser Zeit die Auszahlung von Geldleistungen mit Erwerbsersatzcharakter ganz oder teilweise eingestellt werden; ausgenommen sind die Geldleistungen für Angehörige im Sinne von Absatz 3." Die Verfahrensbeteiligten sind sich uneins über die materiellrechtliche Bedeutung dieser Bestimmung. Es stellt sich die Frage, ob die Untersuchungshaft seit 4. Dezember 2004, welche gemäss Urteil des Strafgerichts Y. vom 27. April 2005 an die ausgesprochene Strafe von sieben Monaten und 16 Tagen Gefängnis angerechnet wurde, unter den gesetzlichen Sistierungsgrund des "Straf- oder Massnahmenvollzugs" fällt. Während IV-Stelle und beschwerdeführendes BSV dies bejahen, ziehen kantonales Gericht und Beschwerdegegnerin insbesondere aus dem Gesetzeswortlaut den Schluss (e contrario), Untersuchungshaft berühre - da keinen Straf- oder Massnahmevollzug darstellend - im Gegensatz zu diesem den laufenden IV-Rentenanspruch nicht.</w:t>
      </w:r>
    </w:p>
    <w:p>
      <w:r>
        <w:rPr>
          <w:b/>
        </w:rPr>
        <w:t>E. 3.1</w:t>
      </w:r>
    </w:p>
    <w:p>
      <w:r>
        <w:t>Bis zum Inkrafttreten des ATSG verhielt es sich mit dem Rentenanspruch während strafrechtlich motivierten Inhaftierungen im Allgemeinen wie folgt: Während die ältere Rechtsprechung von einem Revisionsgrund analog alt Art. 41 IVG (aufgehoben auf den 31. Dezember 2002) ausging ( BGE 110 V 286 E. 1b; BGE 107 V 219 ; ZAK 1981 S. 91), qualifizierte das Eidgenössische Versicherungsgericht in BGE 113 V 273 die Inhaftierung als blossen Sistierungsgrund, was die Weiterausrichtung der Zusatzrenten erlaubt ( BGE 114 V 143 [entsprechend dem zweiten, hier nicht zur Diskussion stehenden Teil der Satzverbindung von Art. 21 Abs. 5 ATSG ], in der Folge bestätigt durch AHI 1998 S. 182; SVR 1995 IV Nr. 35 BGE 133 V 1 S. 4 S. 93; nicht veröffentlichtes Urteil vom 2. Februar 1988, I 373/86; vgl. auch BGE 129 V 216 E. 1.1). Der Strafverbüssung gleichgestellt hat die Rechtsprechung die Untersuchungshaft von gewisser Dauer ("d'une certaine durée"). Stellt sich die Untersuchungshaft im Nachhinein als ungerechtfertigt heraus, sind die sistierten Rentenbetreffnisse nicht nachzuzahlen; vielmehr stellen sie Teil des Schadens dar, welchen der zu Unrecht Verhaftete allenfalls auf dem Weg der Staatshaftung geltend machen kann ( BGE 116 V 323 ). Ob der Rentenanspruch zu sistieren ist, beurteilt sich nach der Vollzugsart, und nicht etwa danach, wer für die Kosten des Unterhalts aufkommt ( BGE 116 V 20 ).</w:t>
      </w:r>
    </w:p>
    <w:p>
      <w:r>
        <w:rPr>
          <w:b/>
        </w:rPr>
        <w:t>E. 3.2</w:t>
      </w:r>
    </w:p>
    <w:p>
      <w:r>
        <w:t>Das Militärversicherungsgesetz war bis zum Inkrafttreten des ATSG der einzige sozialversicherungsrechtliche Erlass, welcher das rechtliche Schicksal der Geldleistungen bei Freiheitsentzug ordnete. Nach alt Art. 13 Abs. 1 MVG , in der vom 1. Januar 1994 bis 31. Dezember 2002 geltenden Fassung, inhaltlich übereinstimmend mit der Vorgängernorm des alt Art. 43 MVG (JÜRG MAESCHI, Kommentar zum Bundesgesetz über die Militärversicherung [MVG] vom 19. Juni 1992, Bern 2000, N. 4 zu Art. 13), konnte die Auszahlung des Taggeldes oder der Invalidenrente ganz oder teilweise eingestellt werden, wenn die versicherte Person eine Freiheitsstrafe oder eine Massnahme nach den Art. 42 bis 44 oder 100 bis des Schweizerischen Strafgesetzbuches (StGB) verbüsst. Im Gegensatz zur Praxis in der Invalidenversicherung (erwähnter BGE 116 V 323 ) gaben Untersuchungs- und Sicherheitshaft keinen Anlass zur Sistierung der Leistungen nach alt Art. 13 MVG , auch wenn sie an eine spätere Freiheitsstrafe angerechnet werden (MAESCHI, a.a.O., N. 13 zu Art. 13 [unter Hinweis auf SCHATZ, Kommentar zur Eidgenössischen Militärversicherung, Zürich 1952, S. 215]).</w:t>
      </w:r>
    </w:p>
    <w:p>
      <w:r>
        <w:rPr>
          <w:b/>
        </w:rPr>
        <w:t>E. 3.2.1</w:t>
      </w:r>
    </w:p>
    <w:p>
      <w:r>
        <w:t>Weil nun alt Art. 13 MVG nahezu wörtlich in den Entwurf zum ATSG in der Fassung des Bundesrates vom 17. August 1994 übernommen wurde (MAESCHI, a.a.O., N. 6 zu Art. 13), zieht KIESER (ATSG-Kommentar, N. 79 zu Art. 21) den Schluss, dass Untersuchungs- und Sicherheitshaft nicht zum Straf- oder Massnahmevollzug zählen, was bisher bezüglich der IV-Leistungen, wie bereits dargelegt, anders betrachtet (vgl. BGE 116 V 323 ff.), hingegen durch alt Art. 13 Abs. 1 MVG (welcher Gesetzesbestimmung Art. 21 Abs. 5 ATSG entspricht; vgl. BBl 1999 S. 4567) für die Militärversicherung so entschieden wurde (vgl. MAESCHI, a.a.O., N. 13 zu Art. 13). Während das kantonale Gericht und ihm folgend die BGE 133 V 1 S. 5 Beschwerdegegnerin sich diese Sichtweise zu eigen machen, präzisiert das BSV seine im IV-Rundschreiben Nr. 225 vom 19. September 2005 dargelegte Haltung unter Hinweis auf einen Passus in der Vertieften bundesrätlichen Stellungnahme vom 17. August 1994 zum Bericht der Kommission des Ständerates vom 27. September 1990, der lautet (BBl 1994 V 937): "Die Frage nach dem Schicksal von Geldleistungen stellt sich bei Freiheitsentzug immer wieder und verdient von daher eine Regelung in einem Allgemeinen Teil des Sozialversicherungsrechts. Der von uns vorgeschlagene Wortlaut hat seine Grundlage in Einklang mit der Rechtsprechung ( BGE 113 V 273 , BGE 114 V 143 ) in Art. 13 des neuen MVG vom 19. Juni 1992."</w:t>
      </w:r>
    </w:p>
    <w:p>
      <w:r>
        <w:rPr>
          <w:b/>
        </w:rPr>
        <w:t>E. 3.2.2</w:t>
      </w:r>
    </w:p>
    <w:p>
      <w:r>
        <w:t>Soweit das BSV in diesem Passus, welchem die Kommission des Nationalrates im Bericht vom 26. März 1999 inhaltlich zugestimmt hat (BBl 1999 S. 4567), eine klare Meinungsäusserung der gesetzgebenden Organe erblickt, die im Gesetzestext zum Ausdruck gekommen und daher für die rechtsanwendenden Stellen praxisgemäss weitgehend verbindlich wäre, kann ihm von vornherein nicht beigepflichtet werden. Offensichtlich werden in der erwähnten Textstelle durch den Bundesrat zwei Dinge vermischt: Dass Art. 27 Abs. 5 ATSG -Entwurf (nunmehr Art. 21 Abs. 5 ATSG ) alt Art. 13 MVG entspricht, ist das eine; dass die vorgeschlagene ATSG-Regelung die Kontinuität zur bisherigen Rechtsprechung wahre, das andere. In Tat und Wahrheit verbergen sich darin zwei verschiedene Rechtsgedanken: Dass gemäss geänderter Rechtsprechung (E. 3.1) der Straf- oder Massnahmevollzug nicht mehr einen Revisions- sondern einen blossen Sistierungsgrund bildet und dass andererseits alt Art. 13 MVG eine Sistierungsregelung (inhaltlich beschränkt auf den Straf- und Massnahmevollzug) enthält. Damit ist in keiner Weise präjudiziert, dass Untersuchungshaft vom Sistierungsgrund des Straf- oder Massnahmevollzuges im Sinne von alt Art. 13 Abs. 1 MVG oder nunmehr Art. 21 Abs. 5 ATSG erfasst oder nicht erfasst wird. Dementsprechend ziehen denn auch die Verfahrensbeteiligten höchst unterschiedliche Schlüsse aus der bestehenden Materialienlage.</w:t>
      </w:r>
    </w:p>
    <w:p>
      <w:r>
        <w:rPr>
          <w:b/>
        </w:rPr>
        <w:t>E. 4.1</w:t>
      </w:r>
    </w:p>
    <w:p>
      <w:r>
        <w:t>(Auslegung des Gesetzes; vgl. BGE 131 I 396 E. 3.2; BGE 131 II 368 E. 4.2 und 703 E. 4.1; BGE 131 V 93 E. 4.1, BGE 131 V 176 E. 3.1, 292 E. 5.2 und 439 E. 6.1; BGE 130 II 211 E. 5.1; BGE 128 I 292 E. 2.4; BGE 124 II 376 E. 5 und 377 E. 6, mit Hinweisen) BGE 133 V 1 S. 6</w:t>
      </w:r>
    </w:p>
    <w:p>
      <w:r>
        <w:rPr>
          <w:b/>
        </w:rPr>
        <w:t>E. 4.2.1</w:t>
      </w:r>
    </w:p>
    <w:p>
      <w:r>
        <w:t>Vom Wortlaut her (vgl. auch die französische ["Si l'assuré subit une mesure ou une peine privative de liberté, ... ."] und die italienische Fassung ["Se l'assicurato subisce una pena o una mesura, ... ."]; zur Gleichwertigkeit der drei Amtssprachen: Art. 14 Abs. 1 des Bundesgesetzes vom 18. Juni 2004 über die Sammlungen des Bundesrechts und das Bundesblatt [Publikationsgesetz, PublG; SR 170.512] ) verdient die vorinstanzliche Rechtsauffassung klar den Vorzug: Untersuchungshaft ist keine Form von Straf- oder Massnahmevollzug. Im Hinblick auf das Gesetzmässigkeitsprinzip - es geht um die Suspendierung eines formellgesetzlich ausgewiesenen und mit rechtsbeständiger Verfügung zugesprochenen Leistungsanspruches - ist der wortlautgetreuen Auslegung auch der Rechtssinn zuzumessen, dies unter dem Vorbehalt, dass die übrigen Auslegungselemente nicht triftige Gesichtspunkte zu Tage fördern, welche ein Abgehen vom Wortlaut gebieten.</w:t>
      </w:r>
    </w:p>
    <w:p>
      <w:r>
        <w:rPr>
          <w:b/>
        </w:rPr>
        <w:t>E. 4.2.2</w:t>
      </w:r>
    </w:p>
    <w:p>
      <w:r>
        <w:t>Wie dargelegt (E. 3.2.2), ergibt sich aus den Materialien lediglich, dass der Gesetzgeber an alt Art. 13 MVG und die Rechtsprechung zum IVG anknüpfen wollte, sich dabei aber offenbar nicht bewusst war, dass der Gesetzeswortlaut der Militärversicherungsbestimmung bezüglich Untersuchungshaft mit der IVG-Praxis nicht übereinstimmte. Eine bewusste Haltung des historischen Gesetzgebers ist weder für die eine noch die andere Position erkennbar.</w:t>
      </w:r>
    </w:p>
    <w:p>
      <w:r>
        <w:rPr>
          <w:b/>
        </w:rPr>
        <w:t>E. 4.2.3</w:t>
      </w:r>
    </w:p>
    <w:p>
      <w:r>
        <w:t>Das systematische Auslegungselement zeigt lediglich, dass in der Militärversicherung eine - zwar nicht von der Rechtsprechung, aber doch von der Doktrin bestätigte (vgl. E. 3.2 hievor) - abweichende Regelung bestand, deren Wortlaut (von redaktionellen Unterschieden abgesehen) in das ATSG Eingang fand. Wenn der Gesetzgeber ferner die Sistierung als Rechtsfolge bei Strafverbüssung und Massnahmevollzug in Art. 21 Abs. 5 ATSG , soweit es um Leistungen mit Erwerbsersatzcharakter geht, verallgemeinert hat, steht damit lediglich ausser Frage, wieder auf die ursprüngliche revisionsrechtliche Betrachtungsweise nach der alten IVG-Rechtsprechung zurückzukommen. Ob aber auch die Rente der in Untersuchungshaft befindlichen versicherten Person zu sistieren sei, wird damit nicht präjudiziert.</w:t>
      </w:r>
    </w:p>
    <w:p>
      <w:r>
        <w:rPr>
          <w:b/>
        </w:rPr>
        <w:t>E. 4.2.4.1</w:t>
      </w:r>
    </w:p>
    <w:p>
      <w:r>
        <w:t>Unter einem teleologischen Blickwinkel (Sinn und Zweck) - verbunden mit der Forderung nach rechtsgleicher Behandlung BGE 133 V 1 S. 7 ( Art. 8 Abs. 1 BV ; zur Bedeutung der Rechtsgleichheit im Rahmen der Auslegung vgl. BGE 126 V 97 E. 4b mit Hinweisen; SVR 2006 IV Nr. 47 S. 172 E. 3.1 und 3.2 [Urteil vom 18. August 2005, I 68/02]) - rechtfertigt sich indessen, mit dem BSV, eine vom Wortlaut der Norm abweichende Betrachtungsweise. Als ratio legis von Art. 21 Abs. 5 ATSG ist die Gleichbehandlung der invaliden mit der validen inhaftierten Person, welche durch einen Freiheitsentzug ihr Einkommen verliert, anzusehen. Entscheidend ist, dass eine verurteilte Person wegen der Verbüssung einer Strafe an einer Erwerbstätigkeit verhindert ist. Nur wenn die Vollzugsart der verurteilten versicherten Person die Möglichkeit bietet, eine Erwerbstätigkeit auszuüben und somit selber für die Lebensbedürfnisse aufzukommen, verbietet es sich, den Rentenanspruch zu sistieren. Massgebend für eine Sistierung der Rentenleistungen eines Invaliden ist somit, ob eine nicht invalide Person in der gleichen Situation durch den Freiheitsentzug einen Erwerbsausfall erleiden würde. Bei Untersuchungshaft eines Arbeitnehmers oder einer Arbeitnehmerin besteht grundsätzlich kein Anspruch auf Lohnfortzahlung nach Art. 324a OR , da es sich in der Regel um eine selbstverschuldete Arbeitsverhinderung handelt. Erweist sich die Inhaftierung jedoch auf Grund eines Freispruchs oder einer Verfahrenseinstellung als ungerechtfertigt, so gilt die Arbeitsverhinderung im Sinne von Art. 324a OR als nicht verschuldet, ausser wenn falsche oder widersprüchliche Angaben des Arbeitnehmers oder der Arbeitnehmerin vor dem Untersuchungsrichter zu der Anklage oder Inhaftierung geführt haben. Beruht die Festnahme dagegen allein auf den Aussagen anderer Personen, kann die Verhinderung an der Arbeitsleistung nicht als selbstverschuldet erachtet werden (Urteil des Bundesgerichts vom 16. August 2001, 4C.74/2000; BRUNNER/BÜHLER/WAEBER/BRUCHEZ, Kommentar zum Arbeitsvertragsrecht, Basel 2005, S. 92; STREIFF/ VON KAENEL, Arbeitsvertrag, Praxiskommentar zu Art. 319-362 OR , 6. Aufl., Zürich 2006, N. 19 zu Art. 324a/b). Hinzu kommt folgende Überlegung: In den meisten Fällen, in denen eine Untersuchungshaft von einer gewissen Dauer angeordnet wurde, erfolgt nachmals eine Verurteilung zu einer Freiheitsstrafe, wobei die Untersuchungshaft in aller Regel an die Freiheitsstrafe angerechnet wird (alt Art. 69 StGB [in Kraft bis 31. Dezember 2006] bzw. Art. 51 StGB [in Kraft ab 1. Januar 2007]). Die Untersuchungshaft ist damit im Ergebnis in den meisten Fällen zugleich BGE 133 V 1 S. 8 ein Teil der Freiheitsstrafe, während welcher die Rente zu sistieren ist. Würde die Rente während der Untersuchungshaft nicht sistiert, würde sie im Ergebnis entgegen Art. 21 Abs. 5 ATSG auch während eines Teils der Freiheitsstrafe ausbezahlt.</w:t>
      </w:r>
    </w:p>
    <w:p>
      <w:r>
        <w:rPr>
          <w:b/>
        </w:rPr>
        <w:t>E. 4.2.4.2</w:t>
      </w:r>
    </w:p>
    <w:p>
      <w:r>
        <w:t>Nach dem Gesagten ist der Rentenanspruch einer Person, die sich in Untersuchungshaft befindet, grundsätzlich zu sistieren, da auch eine gesundheitlich unbeeinträchtigte Person während dieser Zeit in der Regel einen Erwerbsausfall zu gewärtigen hat. Dies kann jedoch, wie das Eidgenössische Versicherungsgericht bereits in seiner bisherigen Rechtsprechung erkannt hat (vgl. u.a. BGE 116 V 326 mit Hinweis), aus Praktikabilitätsgründen lediglich für Untersuchungshaft gelten, welche eine gewisse Zeit angedauert hat ("d'une certaine durée"). Diese "gewisse Dauer" der Untersuchungshaft, während der die Rente noch auszurichten ist, dürfte - in Anlehnung an die gemäss Art. 88a Abs. 1 Satz 2 und Abs. 2 Satz 1 IVV rentenrevisionsrechtlich massgebliche Zeitspanne der anspruchsbeeinflussenden Änderung der Verhältnisse - bis zu drei Monate betragen. Anders als im Falle eines erwerbstätigen Inhaftierten spielt sodann bei einem invaliden Untersuchungshäftling die Verschuldensfrage im Hinblick auf die Weiterausrichtung der Rente keine Rolle. Erweist sich die Inhaftierung im Nachhinein als zu Unrecht angeordnet, so bildet der Rentenverlust nach wie vor Teil des Schadens, den er bei der Behörde geltend machen kann, die ihn ungerechtfertigt inhaftiert hat ( BGE 116 V 323 ; vgl. in diesem Sinne auch zu Art. 324a OR : STREIFF/VON KAENEL, a.a.O., N. 19 zu Art. 324a/b OR).</w:t>
      </w:r>
    </w:p>
    <w:p>
      <w:r>
        <w:rPr>
          <w:b/>
        </w:rPr>
        <w:t>E. 4.3</w:t>
      </w:r>
    </w:p>
    <w:p>
      <w:r>
        <w:t>Die teleologische und die Rechtsgleichheit miteinbeziehende Betrachtungsweise zeigt somit den Rechtssinn des Art. 21 Abs. 5 ATSG auf, weshalb vom Wortlaut der Norm abzuweichen ist. Der Umstand, dass die Bestimmung als Grund für eine Rentensistierung lediglich den Straf- oder Massnahmevollzug nennt, kann bei diesem Auslegungsergebnis kein qualifiziertes Schweigen des Gesetzgebers im Sinne einer bewusst negativen Antwort darstellen. Vielmehr ist eine auf dem Auslegungsweg ermittelte stillschweigende Anordnung desselben ( BGE 125 V 11 E. 3) anzunehmen. Eine ausfüllungsbedürftige Gesetzeslücke ( BGE 130 V 233 E. 2.3; BGE 127 V 41 E. 4b/cc; vgl. BGE 131 II 567 E. 3.5; BGE 130 III 245 E. 3.3), sei dies im Sinne einer planwidrigen Unvollständigkeit (echte Lücke) oder einer sachlich unbefriedigenden Antwort (unechte oder Wertungslücke), scheidet in dieser Interpretationslage ebenfalls aus. BGE 133 V 1 S. 9</w:t>
      </w:r>
    </w:p>
    <w:p>
      <w:r>
        <w:rPr>
          <w:b/>
        </w:rPr>
        <w:t>E. 4.4</w:t>
      </w:r>
    </w:p>
    <w:p>
      <w:r>
        <w:t>Die Beschwerdegegnerin befand sich laut Urteil des Strafgerichts Y. vom 27. April 2005 seit 4. Dezember 2004 - und damit seit beinahe fünf Monaten - in Untersuchungshaft. Diese Zeitspanne entspricht ohne weiteres der nach dem Gesagten einen Rentensistierungsgrund darstellenden Untersuchungshaft von gewisser Dauer, weshalb die IV-Stelle den Rentenanspruch der Beschwerdegegnerin zu Recht ab 1. Januar 2005 eingestellt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